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>дело № 5-347/2806/2025</w:t>
      </w:r>
    </w:p>
    <w:p>
      <w:pPr>
        <w:pStyle w:val="Heading1"/>
        <w:spacing w:before="0" w:after="0"/>
        <w:jc w:val="center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pacing w:val="40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Style w:val="cat-Dategrp-11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ст.20.10 Кодекса Российской Федерации об административных правонарушениях (далее – КоАП РФ),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Сутырина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9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Российской Федерации, зарегистрированного и проживающего по адресу: Ханты-Мансийский автономный округ-Югра,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неработающего, пенсионера,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по главе 20 КоАП РФ,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Dategrp-13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9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2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5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действуя умышленно, в нарушение требований статьи 22 Федерального закона от </w:t>
      </w:r>
      <w:r>
        <w:rPr>
          <w:rStyle w:val="cat-Dategrp-12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№150-ФЗ «Об оружии», </w:t>
      </w:r>
      <w:hyperlink r:id="rId4" w:anchor="/document/12112448/entry/34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пункта 54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оборота гражданского и служебного оружия и патронов к нему на </w:t>
      </w:r>
      <w:r>
        <w:rPr>
          <w:rStyle w:val="cat-Addressgrp-4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осуществлял незаконное хранение незарегистрированное в установленном порядке гражданское огнестрельное гладкоствольное оружия марки </w:t>
      </w:r>
      <w:r>
        <w:rPr>
          <w:rStyle w:val="cat-CarMakeModelgrp-30rplc-16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1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калибра, а также боеприпасы к огнестрельному гладкоствольному оружию в количестве 259 патронов 12 калибра и такие действия не содержат признаков уголовно наказуемого деяния.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22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22rplc-1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материалы дела, мировой судья приходит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ст.1 Федерального закона от </w:t>
      </w:r>
      <w:r>
        <w:rPr>
          <w:rStyle w:val="cat-Dategrp-12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150-ФЗ «Об оружии» (далее – Федеральный закон об оружии) огнестрельное оружие – оружие, предназначенное для механического поражения цели на расстоянии метаемым снаряжением, получающим направленное движение за счёт энергии порохового или иного заряда.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гражданскому оружию относится оружие, предназначенное для использования гражданами Российской Федерации в целях самообороны, для занятий спортом и охоты, а также в культурных и образовательных целях. Гражданское огнестрельное оружие должно исключать ведение огня очередями и иметь ёмкость магазина (барабана) не более 10 патронов. Ограничение ёмкости магазина (барабана) не распространяется на спортивное оружие, требования к составным частям которого определяются правилами видов спорта и (или) положениями (регламентами) о спортивных соревнованиях, принятыми общероссийскими спортивными федерациями, аккредитованными в соответствии с законодательством Российской Федерации, по одному или нескольким видам спорта, связанным с использованием спортивного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оружия. При использовании гражданского огнестрельного оружия ограниченного поражения должна быть исключена возможность выстрела из него патронами, в том числе метаемым снаряжением, используемыми для стрельбы из боевого ручного стрелкового оружия, служебного нарезного оружия и гладкоствольного огнестрельного оружия, гражданского нарезного оружия и гладкоствольного длинноствольного огнестрельного оружия. Дульная энергия при выстреле из гражданского огнестрельного гладкоствольного длинноствольного оружия патронами травматического действия не должна превышать 150 Дж, а из гражданского огнестрельного оружия ограниченного поражения - 91 </w:t>
      </w:r>
      <w:r>
        <w:rPr>
          <w:rStyle w:val="cat-FIOgrp-23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оружие и патроны к нему должны соответствовать криминалистическим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согласованным с федеральным органом исполнительной власти, уполномоченным в сфере оборота оружия, и федеральным органом исполнительной власти, осуществляющим функции по оказанию государственных услуг, управлению государственным имуществом в сфере технического регулирования и обеспечения единства измерений (статья 3 Закона об оружии).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ст.22 Федерального закона об оружии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Аналогичные требования установлены </w:t>
      </w:r>
      <w:hyperlink r:id="rId4" w:anchor="/document/12112448/entry/34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пунктом 54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оборота гражданского и служебного оружия и патронов к нему на </w:t>
      </w:r>
      <w:r>
        <w:rPr>
          <w:rStyle w:val="cat-Addressgrp-4rplc-2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утверждённых </w:t>
      </w:r>
      <w:hyperlink r:id="rId4" w:anchor="/document/12112448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Российской Федерации от </w:t>
      </w:r>
      <w:r>
        <w:rPr>
          <w:rStyle w:val="cat-Dategrp-14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№814 (далее-Правила №814)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статьёй 20.10 КоАП РФ ответственность наступает за незаконные изготовление, приобретение, продажу, передачу, хранение, перевозку,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Событие административного правонарушения подтверждается совокупностью исследованных в судебном заседании доказательств: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об административном правонарушении серии 86 №385103 от </w:t>
      </w:r>
      <w:r>
        <w:rPr>
          <w:rStyle w:val="cat-Dategrp-13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-объяснениями </w:t>
      </w:r>
      <w:r>
        <w:rPr>
          <w:rStyle w:val="cat-FIOgrp-22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в которых последний признаёт факт совершения вменённого административного правонарушения;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изъятия огнестрельного оружия и патронов к нему от </w:t>
      </w:r>
      <w:r>
        <w:rPr>
          <w:rStyle w:val="cat-Dategrp-15rplc-26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рапорта </w:t>
      </w:r>
      <w:r>
        <w:rPr>
          <w:rStyle w:val="cat-Addressgrp-7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ОУУП и </w:t>
      </w:r>
      <w:r>
        <w:rPr>
          <w:rStyle w:val="cat-Addressgrp-6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 </w:t>
      </w:r>
      <w:r>
        <w:rPr>
          <w:rStyle w:val="cat-FIOgrp-24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3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обстоятельствам выявления правонарушения;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письма начальника ОЛРР Управления </w:t>
      </w:r>
      <w:r>
        <w:rPr>
          <w:rFonts w:ascii="Times New Roman" w:eastAsia="Times New Roman" w:hAnsi="Times New Roman" w:cs="Times New Roman"/>
          <w:sz w:val="26"/>
          <w:szCs w:val="26"/>
        </w:rPr>
        <w:t>Росгвардии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ХМАО-Югре </w:t>
      </w:r>
      <w:r>
        <w:rPr>
          <w:rStyle w:val="cat-FIOgrp-25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разрешение серии </w:t>
      </w:r>
      <w:r>
        <w:rPr>
          <w:rFonts w:ascii="Times New Roman" w:eastAsia="Times New Roman" w:hAnsi="Times New Roman" w:cs="Times New Roman"/>
          <w:sz w:val="26"/>
          <w:szCs w:val="26"/>
        </w:rPr>
        <w:t>РОХа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№0026668056 от </w:t>
      </w:r>
      <w:r>
        <w:rPr>
          <w:rStyle w:val="cat-Dategrp-16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оружие </w:t>
      </w:r>
      <w:r>
        <w:rPr>
          <w:rStyle w:val="cat-CarMakeModelgrp-31rplc-33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к.12/76 №9221407 аннулировано;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заключения об аннулировании разрешения на право хранения и ношения огнестрельного оружия от </w:t>
      </w:r>
      <w:r>
        <w:rPr>
          <w:rStyle w:val="cat-Dategrp-17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постановления об отказе в возбуждении уголовного дела от </w:t>
      </w:r>
      <w:r>
        <w:rPr>
          <w:rStyle w:val="cat-Dategrp-18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-справкой об исследовании №89 от </w:t>
      </w:r>
      <w:r>
        <w:rPr>
          <w:rStyle w:val="cat-Dategrp-19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представленное на исследование ружье является гладкоствольным огнестрельным оружием-охотничьим ружьем модели </w:t>
      </w:r>
      <w:r>
        <w:rPr>
          <w:rStyle w:val="cat-CarMakeModelgrp-32rplc-37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калибра (12х76) №9221407 заводского изготовления, изменений в заводской конструкции оружия нет. Предметы </w:t>
      </w:r>
      <w:r>
        <w:rPr>
          <w:rFonts w:ascii="Times New Roman" w:eastAsia="Times New Roman" w:hAnsi="Times New Roman" w:cs="Times New Roman"/>
          <w:sz w:val="26"/>
          <w:szCs w:val="26"/>
        </w:rPr>
        <w:t>в количестве 259 штук являются патронами 12 калибра для гладкоствольного огнестрельного охотничьего оружия, изготовленные заводским способом.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изложенных обстоятельствах, мировой судья находит вину </w:t>
      </w:r>
      <w:r>
        <w:rPr>
          <w:rStyle w:val="cat-FIOgrp-22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вменённого административного правонарушения установленной и квалифицирует его действия по ст.20.10 КоАП РФ – незаконное хранение оружия и патронов к гражданскому огнестрельному гладкоствольному оружию, если эти действия не содержат уголовно наказуемого деяния.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учитывает характер совершенного административного правонарушения, личность </w:t>
      </w:r>
      <w:r>
        <w:rPr>
          <w:rStyle w:val="cat-FIOgrp-22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22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правонарушение, посягающее на общественный порядок и общественную безопасность.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22rplc-4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неоднократно привлекался к административной ответственности за правонарушения, предусмотренные главой 20 КоАП РФ за нарушение общественного порядка и общественной безопасности.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ответственность, является признание вины в совершенном правонарушении, отягчающим административную ответственность, обстоятельством является повторное совершение однородного правонарушения, что подтверждается копией справки на </w:t>
      </w:r>
      <w:r>
        <w:rPr>
          <w:rStyle w:val="cat-FIOgrp-22rplc-4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учетам СООП.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правонарушении, примечании 1 к ст.20.10 КоАП РФ и в ст.24.5 КоАП РФ,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 –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Сутырина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статьёй 20.10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 административного штрафа в размере </w:t>
      </w:r>
      <w:r>
        <w:rPr>
          <w:rStyle w:val="cat-Sumgrp-27rplc-4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Вещественные доказательства по делу после вступления постановления в законную силу: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- 259 патронов 12 калибра, оружие марки </w:t>
      </w:r>
      <w:r>
        <w:rPr>
          <w:rStyle w:val="cat-CarMakeModelgrp-30rplc-46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№9221407, 12/76 калибра, изъятые у </w:t>
      </w:r>
      <w:r>
        <w:rPr>
          <w:rStyle w:val="cat-FIOgrp-22rplc-4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 хранящиеся в камере хранения вещественных доказательств МО МВД России «Ханты-Мансийский на основании ч.3 ст.3.7 КоАП РФ уничтожить.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по следующим реквизитам: УФК по </w:t>
      </w:r>
      <w:r>
        <w:rPr>
          <w:rStyle w:val="cat-Addressgrp-8rplc-4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(Департамент административного обеспечения </w:t>
      </w:r>
      <w:r>
        <w:rPr>
          <w:rStyle w:val="cat-Addressgrp-1rplc-4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л/с 04872D08080), наименование банка: РКЦ Ханты-Мансийск//УФК по </w:t>
      </w:r>
      <w:r>
        <w:rPr>
          <w:rStyle w:val="cat-Addressgrp-9rplc-5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казначейского счета: 03100643000000018700, ЕКС: 40102810245370000007, БИК: </w:t>
      </w:r>
      <w:r>
        <w:rPr>
          <w:rStyle w:val="cat-PhoneNumbergrp-33rplc-5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ИНН: </w:t>
      </w:r>
      <w:r>
        <w:rPr>
          <w:rStyle w:val="cat-PhoneNumbergrp-34rplc-5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КПП: </w:t>
      </w:r>
      <w:r>
        <w:rPr>
          <w:rStyle w:val="cat-PhoneNumbergrp-35rplc-5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ОКТМО: </w:t>
      </w:r>
      <w:r>
        <w:rPr>
          <w:rStyle w:val="cat-PhoneNumbergrp-36rplc-5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37rplc-5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38rplc-5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 0412365400805003472520146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1rplc-5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10rplc-5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каб.115.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1rplc-5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FIOgrp-26rplc-6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FIOgrp-26rplc-6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1rplc-1">
    <w:name w:val="cat-Date grp-11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20rplc-3">
    <w:name w:val="cat-FIO grp-20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40rplc-6">
    <w:name w:val="cat-UserDefined grp-40 rplc-6"/>
    <w:basedOn w:val="DefaultParagraphFont"/>
  </w:style>
  <w:style w:type="character" w:customStyle="1" w:styleId="cat-ExternalSystemDefinedgrp-39rplc-7">
    <w:name w:val="cat-ExternalSystemDefined grp-39 rplc-7"/>
    <w:basedOn w:val="DefaultParagraphFont"/>
  </w:style>
  <w:style w:type="character" w:customStyle="1" w:styleId="cat-PassportDatagrp-28rplc-8">
    <w:name w:val="cat-PassportData grp-28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13rplc-10">
    <w:name w:val="cat-Date grp-13 rplc-10"/>
    <w:basedOn w:val="DefaultParagraphFont"/>
  </w:style>
  <w:style w:type="character" w:customStyle="1" w:styleId="cat-Timegrp-29rplc-11">
    <w:name w:val="cat-Time grp-29 rplc-11"/>
    <w:basedOn w:val="DefaultParagraphFont"/>
  </w:style>
  <w:style w:type="character" w:customStyle="1" w:styleId="cat-FIOgrp-22rplc-12">
    <w:name w:val="cat-FIO grp-22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Dategrp-12rplc-14">
    <w:name w:val="cat-Date grp-12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CarMakeModelgrp-30rplc-16">
    <w:name w:val="cat-CarMakeModel grp-30 rplc-16"/>
    <w:basedOn w:val="DefaultParagraphFont"/>
  </w:style>
  <w:style w:type="character" w:customStyle="1" w:styleId="cat-UserDefinedgrp-41rplc-17">
    <w:name w:val="cat-UserDefined grp-41 rplc-17"/>
    <w:basedOn w:val="DefaultParagraphFont"/>
  </w:style>
  <w:style w:type="character" w:customStyle="1" w:styleId="cat-FIOgrp-22rplc-18">
    <w:name w:val="cat-FIO grp-22 rplc-18"/>
    <w:basedOn w:val="DefaultParagraphFont"/>
  </w:style>
  <w:style w:type="character" w:customStyle="1" w:styleId="cat-FIOgrp-22rplc-19">
    <w:name w:val="cat-FIO grp-22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FIOgrp-23rplc-21">
    <w:name w:val="cat-FIO grp-23 rplc-21"/>
    <w:basedOn w:val="DefaultParagraphFont"/>
  </w:style>
  <w:style w:type="character" w:customStyle="1" w:styleId="cat-Addressgrp-4rplc-22">
    <w:name w:val="cat-Address grp-4 rplc-22"/>
    <w:basedOn w:val="DefaultParagraphFont"/>
  </w:style>
  <w:style w:type="character" w:customStyle="1" w:styleId="cat-Dategrp-14rplc-23">
    <w:name w:val="cat-Date grp-14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FIOgrp-22rplc-25">
    <w:name w:val="cat-FIO grp-22 rplc-25"/>
    <w:basedOn w:val="DefaultParagraphFont"/>
  </w:style>
  <w:style w:type="character" w:customStyle="1" w:styleId="cat-Dategrp-15rplc-26">
    <w:name w:val="cat-Date grp-15 rplc-26"/>
    <w:basedOn w:val="DefaultParagraphFont"/>
  </w:style>
  <w:style w:type="character" w:customStyle="1" w:styleId="cat-Addressgrp-7rplc-27">
    <w:name w:val="cat-Address grp-7 rplc-27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FIOgrp-24rplc-29">
    <w:name w:val="cat-FIO grp-24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FIOgrp-25rplc-31">
    <w:name w:val="cat-FIO grp-25 rplc-31"/>
    <w:basedOn w:val="DefaultParagraphFont"/>
  </w:style>
  <w:style w:type="character" w:customStyle="1" w:styleId="cat-Dategrp-16rplc-32">
    <w:name w:val="cat-Date grp-16 rplc-32"/>
    <w:basedOn w:val="DefaultParagraphFont"/>
  </w:style>
  <w:style w:type="character" w:customStyle="1" w:styleId="cat-CarMakeModelgrp-31rplc-33">
    <w:name w:val="cat-CarMakeModel grp-31 rplc-33"/>
    <w:basedOn w:val="DefaultParagraphFont"/>
  </w:style>
  <w:style w:type="character" w:customStyle="1" w:styleId="cat-Dategrp-17rplc-34">
    <w:name w:val="cat-Date grp-17 rplc-34"/>
    <w:basedOn w:val="DefaultParagraphFont"/>
  </w:style>
  <w:style w:type="character" w:customStyle="1" w:styleId="cat-Dategrp-18rplc-35">
    <w:name w:val="cat-Date grp-18 rplc-35"/>
    <w:basedOn w:val="DefaultParagraphFont"/>
  </w:style>
  <w:style w:type="character" w:customStyle="1" w:styleId="cat-Dategrp-19rplc-36">
    <w:name w:val="cat-Date grp-19 rplc-36"/>
    <w:basedOn w:val="DefaultParagraphFont"/>
  </w:style>
  <w:style w:type="character" w:customStyle="1" w:styleId="cat-CarMakeModelgrp-32rplc-37">
    <w:name w:val="cat-CarMakeModel grp-32 rplc-37"/>
    <w:basedOn w:val="DefaultParagraphFont"/>
  </w:style>
  <w:style w:type="character" w:customStyle="1" w:styleId="cat-FIOgrp-22rplc-38">
    <w:name w:val="cat-FIO grp-22 rplc-38"/>
    <w:basedOn w:val="DefaultParagraphFont"/>
  </w:style>
  <w:style w:type="character" w:customStyle="1" w:styleId="cat-FIOgrp-22rplc-39">
    <w:name w:val="cat-FIO grp-22 rplc-39"/>
    <w:basedOn w:val="DefaultParagraphFont"/>
  </w:style>
  <w:style w:type="character" w:customStyle="1" w:styleId="cat-FIOgrp-22rplc-40">
    <w:name w:val="cat-FIO grp-22 rplc-40"/>
    <w:basedOn w:val="DefaultParagraphFont"/>
  </w:style>
  <w:style w:type="character" w:customStyle="1" w:styleId="cat-FIOgrp-22rplc-41">
    <w:name w:val="cat-FIO grp-22 rplc-41"/>
    <w:basedOn w:val="DefaultParagraphFont"/>
  </w:style>
  <w:style w:type="character" w:customStyle="1" w:styleId="cat-FIOgrp-22rplc-42">
    <w:name w:val="cat-FIO grp-22 rplc-42"/>
    <w:basedOn w:val="DefaultParagraphFont"/>
  </w:style>
  <w:style w:type="character" w:customStyle="1" w:styleId="cat-UserDefinedgrp-40rplc-43">
    <w:name w:val="cat-UserDefined grp-40 rplc-43"/>
    <w:basedOn w:val="DefaultParagraphFont"/>
  </w:style>
  <w:style w:type="character" w:customStyle="1" w:styleId="cat-Sumgrp-27rplc-45">
    <w:name w:val="cat-Sum grp-27 rplc-45"/>
    <w:basedOn w:val="DefaultParagraphFont"/>
  </w:style>
  <w:style w:type="character" w:customStyle="1" w:styleId="cat-CarMakeModelgrp-30rplc-46">
    <w:name w:val="cat-CarMakeModel grp-30 rplc-46"/>
    <w:basedOn w:val="DefaultParagraphFont"/>
  </w:style>
  <w:style w:type="character" w:customStyle="1" w:styleId="cat-FIOgrp-22rplc-47">
    <w:name w:val="cat-FIO grp-22 rplc-47"/>
    <w:basedOn w:val="DefaultParagraphFont"/>
  </w:style>
  <w:style w:type="character" w:customStyle="1" w:styleId="cat-Addressgrp-8rplc-48">
    <w:name w:val="cat-Address grp-8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9rplc-50">
    <w:name w:val="cat-Address grp-9 rplc-50"/>
    <w:basedOn w:val="DefaultParagraphFont"/>
  </w:style>
  <w:style w:type="character" w:customStyle="1" w:styleId="cat-PhoneNumbergrp-33rplc-51">
    <w:name w:val="cat-PhoneNumber grp-33 rplc-51"/>
    <w:basedOn w:val="DefaultParagraphFont"/>
  </w:style>
  <w:style w:type="character" w:customStyle="1" w:styleId="cat-PhoneNumbergrp-34rplc-52">
    <w:name w:val="cat-PhoneNumber grp-34 rplc-52"/>
    <w:basedOn w:val="DefaultParagraphFont"/>
  </w:style>
  <w:style w:type="character" w:customStyle="1" w:styleId="cat-PhoneNumbergrp-35rplc-53">
    <w:name w:val="cat-PhoneNumber grp-35 rplc-53"/>
    <w:basedOn w:val="DefaultParagraphFont"/>
  </w:style>
  <w:style w:type="character" w:customStyle="1" w:styleId="cat-PhoneNumbergrp-36rplc-54">
    <w:name w:val="cat-PhoneNumber grp-36 rplc-54"/>
    <w:basedOn w:val="DefaultParagraphFont"/>
  </w:style>
  <w:style w:type="character" w:customStyle="1" w:styleId="cat-PhoneNumbergrp-37rplc-55">
    <w:name w:val="cat-PhoneNumber grp-37 rplc-55"/>
    <w:basedOn w:val="DefaultParagraphFont"/>
  </w:style>
  <w:style w:type="character" w:customStyle="1" w:styleId="cat-PhoneNumbergrp-38rplc-56">
    <w:name w:val="cat-PhoneNumber grp-38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Addressgrp-10rplc-58">
    <w:name w:val="cat-Address grp-10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FIOgrp-26rplc-60">
    <w:name w:val="cat-FIO grp-26 rplc-60"/>
    <w:basedOn w:val="DefaultParagraphFont"/>
  </w:style>
  <w:style w:type="character" w:customStyle="1" w:styleId="cat-FIOgrp-26rplc-61">
    <w:name w:val="cat-FIO grp-26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